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El capital social y las empresas de turismo de naturaleza ind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genas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3550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GUSTAVO L</w:t>
      </w:r>
      <w:r>
        <w:rPr>
          <w:rFonts w:hAnsi="Times New Roman Bold" w:hint="default"/>
          <w:sz w:val="24"/>
          <w:szCs w:val="24"/>
          <w:rtl w:val="0"/>
          <w:lang w:val="es-ES_tradnl"/>
        </w:rPr>
        <w:t>Ó</w:t>
      </w:r>
      <w:r>
        <w:rPr>
          <w:rFonts w:ascii="Times New Roman Bold"/>
          <w:sz w:val="24"/>
          <w:szCs w:val="24"/>
          <w:rtl w:val="0"/>
          <w:lang w:val="es-ES_tradnl"/>
        </w:rPr>
        <w:t>PEZ PARDO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3550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